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 RVG — Als gemeinsamer Vertreter bestellter Rechtsanwalt</w:t>
      </w:r>
    </w:p>
    <w:p>
      <w:r>
        <w:rPr>
          <w:color w:val="555555"/>
          <w:sz w:val="18"/>
        </w:rPr>
        <w:t xml:space="preserve">Rechtsanwaltsvergütungsgesetz</w:t>
      </w:r>
    </w:p>
    <w:p>
      <w:r>
        <w:rPr>
          <w:color w:val="555555"/>
          <w:sz w:val="18"/>
        </w:rPr>
        <w:t xml:space="preserve">Stand: 13.04.2022 (konsolidierte Textfassung, kein amtliches Inkrafttretensdatum)</w:t>
      </w:r>
    </w:p>
    <w:p>
      <w:r>
        <w:t xml:space="preserve">Der Rechtsanwalt kann von den Personen, für die er nach § 67a Absatz 1 Satz 2 der Verwaltungsgerichtsordnung bestellt ist, die Vergütung eines von mehreren Auftraggebern zum Prozessbevollmächtigten bestellten Rechtsanwalts und einen Vorschuss verlangen.</w:t>
      </w:r>
    </w:p>
    <w:p>
      <w:r>
        <w:rPr>
          <w:color w:val="555555"/>
          <w:sz w:val="17"/>
        </w:rPr>
        <w:t xml:space="preserve">Zitiervorschlag: § 40 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https://recht.nulegal.eu/gesetze/RVG/40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