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RVG — Unterschreitung der gesetzlichen Vergütung</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In außergerichtlichen Angelegenheiten kann eine niedrigere als die gesetzliche Vergütung vereinbart werden. Sie muss in einem angemessenen Verhältnis zu Leistung, Verantwortung und Haftungsrisiko des Rechtsanwalts stehen. Ist Gegenstand der außergerichtlichen Angelegenheit eine Inkassodienstleistung (§ 2 Absatz 2 Satz 1 des Rechtsdienstleistungsgesetzes) oder liegen die Voraussetzungen für die Bewilligung von Beratungshilfe vor, gilt Satz 2 nicht und kann der Rechtsanwalt ganz auf eine Vergütung verzichten. § 9 des Beratungshilfegesetzes bleibt unberührt.</w:t>
      </w:r>
    </w:p>
    <w:p>
      <w:r>
        <w:t xml:space="preserve">(2) Ist Gegenstand der Angelegenheit eine Inkassodienstleistung in einem der in § 79 Absatz 2 Satz 2 Nummer 4 der Zivilprozessordnung genannten Verfahren, kann eine niedrigere als die gesetzliche Vergütung vereinbart werden oder kann der Rechtsanwalt ganz auf eine Vergütung verzichten.</w:t>
      </w:r>
    </w:p>
    <w:p>
      <w:r>
        <w:rPr>
          <w:color w:val="555555"/>
          <w:sz w:val="17"/>
        </w:rPr>
        <w:t xml:space="preserve">Zitiervorschlag: § 4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