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RVG — Verfahren vor dem Gerichtshof der Europäischen Gemeinschaften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In Vorabentscheidungsverfahren vor dem Gerichtshof der Europäischen Gemeinschaften gelten die Vorschriften in Teil 3 Abschnitt 2 Unterabschnitt 2 des Vergütungsverzeichnisses entsprechend. Der Gegenstandswert bestimmt sich nach den Wertvorschriften, die für die Gerichtsgebühren des Verfahrens gelten, in dem vorgelegt wird. Das vorlegende Gericht setzt den Gegenstandswert auf Antrag durch Beschluss fest. § 33 Absatz 2 bis 9 gilt entsprechend.</w:t>
      </w:r>
    </w:p>
    <w:p>
      <w:r>
        <w:t xml:space="preserve">(2) Ist in einem Verfahren, in dem sich die Gebühren nach Teil 4, 5 oder 6 des Vergütungsverzeichnisses richten, vorgelegt worden, sind in dem Vorabentscheidungsverfahren die Nummern 4130 und 4132 des Vergütungsverzeichnisses entsprechend anzuwenden.</w:t>
      </w:r>
    </w:p>
    <w:p>
      <w:r>
        <w:t xml:space="preserve">(3) Die Verfahrensgebühr des Verfahrens, in dem vorgelegt worden ist, wird auf die Verfahrensgebühr des Verfahrens vor dem Gerichtshof der Europäischen Gemeinschaften angerechnet, wenn nicht eine im Verfahrensrecht vorgesehene schriftliche Stellungnahme gegenüber dem Gerichtshof der Europäischen Gemeinschaften abgegeben wird.</w:t>
      </w:r>
    </w:p>
    <w:p>
      <w:r>
        <w:rPr>
          <w:color w:val="555555"/>
          <w:sz w:val="17"/>
        </w:rPr>
        <w:t xml:space="preserve">Zitiervorschlag: § 38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