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RVG — Verfahren vor den Verfassungsgerichten</w:t>
      </w:r>
    </w:p>
    <w:p>
      <w:r>
        <w:rPr>
          <w:color w:val="555555"/>
          <w:sz w:val="18"/>
        </w:rPr>
        <w:t xml:space="preserve">Rechtsanwaltsvergütungsgesetz</w:t>
      </w:r>
    </w:p>
    <w:p>
      <w:r>
        <w:rPr>
          <w:color w:val="555555"/>
          <w:sz w:val="18"/>
        </w:rPr>
        <w:t xml:space="preserve">Stand: 13.04.2022 (konsolidierte Textfassung, kein amtliches Inkrafttretensdatum)</w:t>
      </w:r>
    </w:p>
    <w:p>
      <w:r>
        <w:t xml:space="preserve">(1) Die Vorschriften für die Revision in Teil 4 Abschnitt 1 Unterabschnitt 3 des Vergütungsverzeichnisses gelten entsprechend in folgenden Verfahren vor dem Bundesverfassungsgericht oder dem Verfassungsgericht (Verfassungsgerichtshof, Staatsgerichtshof) eines Landes:</w:t>
      </w:r>
    </w:p>
    <w:p>
      <w:pPr>
        <w:ind w:left="420"/>
      </w:pPr>
      <w:r>
        <w:t xml:space="preserve">1. Verfahren über die Verwirkung von Grundrechten, den Verlust des Stimmrechts, den Ausschluss von Wahlen und Abstimmungen,</w:t>
      </w:r>
    </w:p>
    <w:p>
      <w:pPr>
        <w:ind w:left="420"/>
      </w:pPr>
      <w:r>
        <w:t xml:space="preserve">2. Verfahren über die Verfassungswidrigkeit von Parteien,</w:t>
      </w:r>
    </w:p>
    <w:p>
      <w:pPr>
        <w:ind w:left="420"/>
      </w:pPr>
      <w:r>
        <w:t xml:space="preserve">3. Verfahren über Anklagen gegen den Bundespräsidenten, gegen ein Regierungsmitglied eines Landes oder gegen einen Abgeordneten oder Richter und</w:t>
      </w:r>
    </w:p>
    <w:p>
      <w:pPr>
        <w:ind w:left="420"/>
      </w:pPr>
      <w:r>
        <w:t xml:space="preserve">4. Verfahren über sonstige Gegenstände, die in einem dem Strafprozess ähnlichen Verfahren behandelt werden.</w:t>
      </w:r>
    </w:p>
    <w:p>
      <w:r>
        <w:t xml:space="preserve">(2) In sonstigen Verfahren vor dem Bundesverfassungsgericht oder dem Verfassungsgericht eines Landes gelten die Vorschriften in Teil 3 Abschnitt 2 Unterabschnitt 2 des Vergütungsverzeichnisses entsprechend. Der Gegenstandswert ist unter Berücksichtigung der in § 14 Absatz 1 genannten Umstände nach billigem Ermessen zu bestimmen; er beträgt mindestens 5 000 Euro.</w:t>
      </w:r>
    </w:p>
    <w:p>
      <w:r>
        <w:rPr>
          <w:color w:val="555555"/>
          <w:sz w:val="17"/>
        </w:rPr>
        <w:t xml:space="preserve">Zitiervorschlag: § 37 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https://recht.nulegal.eu/gesetze/RVG/37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