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RVG — Schiedsrichterliche Verfahren und Verfahren vor dem Schiedsgericht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(1) Teil 3 Abschnitt 1, 2 und 4 des Vergütungsverzeichnisses ist auf die folgenden außergerichtlichen Verfahren entsprechend anzuwenden:</w:t>
      </w:r>
    </w:p>
    <w:p>
      <w:pPr>
        <w:ind w:left="420"/>
      </w:pPr>
      <w:r>
        <w:t xml:space="preserve">1. schiedsrichterliche Verfahren nach Buch 10 der Zivilprozessordnung und</w:t>
      </w:r>
    </w:p>
    <w:p>
      <w:pPr>
        <w:ind w:left="420"/>
      </w:pPr>
      <w:r>
        <w:t xml:space="preserve">2. Verfahren vor dem Schiedsgericht (§ 104 des Arbeitsgerichtsgesetzes).</w:t>
      </w:r>
    </w:p>
    <w:p>
      <w:r>
        <w:t xml:space="preserve">(2) Im Verfahren nach Absatz 1 Nummer 1 erhält der Rechtsanwalt die Terminsgebühr auch, wenn der Schiedsspruch ohne mündliche Verhandlung erlassen wird.</w:t>
      </w:r>
    </w:p>
    <w:p>
      <w:r>
        <w:rPr>
          <w:color w:val="555555"/>
          <w:sz w:val="17"/>
        </w:rPr>
        <w:t xml:space="preserve">Zitiervorschlag: § 36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