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31 RVG — Gegenstandswert in gerichtlichen Verfahren nach dem Spruchverfahrensgesetz</w:t>
      </w:r>
    </w:p>
    <w:p>
      <w:r>
        <w:rPr>
          <w:color w:val="555555"/>
          <w:sz w:val="18"/>
        </w:rPr>
        <w:t xml:space="preserve">Rechtsanwaltsvergütungsgesetz</w:t>
      </w:r>
    </w:p>
    <w:p>
      <w:r>
        <w:rPr>
          <w:color w:val="555555"/>
          <w:sz w:val="18"/>
        </w:rPr>
        <w:t xml:space="preserve">Stand: 13.04.2022 (konsolidierte Textfassung, kein amtliches Inkrafttretensdatum)</w:t>
      </w:r>
    </w:p>
    <w:p>
      <w:r>
        <w:t xml:space="preserve">(1) Vertritt der Rechtsanwalt im Verfahren nach dem Spruchverfahrensgesetz einen von mehreren Antragstellern, bestimmt sich der Gegenstandswert nach dem Bruchteil des für die Gerichtsgebühren geltenden Geschäftswerts, der sich aus dem Verhältnis der Anzahl der Anteile des Auftraggebers zu der Gesamtzahl der Anteile aller Antragsteller ergibt. Maßgeblicher Zeitpunkt für die Bestimmung der auf die einzelnen Antragsteller entfallenden Anzahl der Anteile ist der jeweilige Zeitpunkt der Antragstellung. Ist die Anzahl der auf einen Antragsteller entfallenden Anteile nicht gerichtsbekannt, wird vermutet, dass er lediglich einen Anteil hält. Der Wert beträgt mindestens 5 000 Euro.</w:t>
      </w:r>
    </w:p>
    <w:p>
      <w:r>
        <w:t xml:space="preserve">(2) Wird der Rechtsanwalt von mehreren Antragstellern beauftragt, sind die auf die einzelnen Antragsteller entfallenden Werte zusammenzurechnen; Nummer 1008 des Vergütungsverzeichnisses ist insoweit nicht anzuwenden.</w:t>
      </w:r>
    </w:p>
    <w:p>
      <w:r>
        <w:rPr>
          <w:color w:val="555555"/>
          <w:sz w:val="17"/>
        </w:rPr>
        <w:t xml:space="preserve">Zitiervorschlag: § 31 RVG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https://recht.nulegal.eu/gesetze/RVG/31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