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RVG — Gebühren in sozialrechtlichen Angelegenheiten</w:t>
      </w:r>
    </w:p>
    <w:p>
      <w:r>
        <w:rPr>
          <w:color w:val="555555"/>
          <w:sz w:val="18"/>
        </w:rPr>
        <w:t xml:space="preserve">Rechtsanwaltsvergütungsgesetz</w:t>
      </w:r>
    </w:p>
    <w:p>
      <w:r>
        <w:rPr>
          <w:color w:val="555555"/>
          <w:sz w:val="18"/>
        </w:rPr>
        <w:t xml:space="preserve">Stand: 13.04.2022 (konsolidierte Textfassung, kein amtliches Inkrafttretensdatum)</w:t>
      </w:r>
    </w:p>
    <w:p>
      <w:r>
        <w:t xml:space="preserve">(1) In Verfahren vor den Gerichten der Sozialgerichtsbarkeit, in denen das Gerichtskostengesetz nicht anzuwenden ist, entstehen Betragsrahmengebühren. In sonstigen Verfahren werden die Gebühren nach dem Gegenstandswert berechnet, wenn der Auftraggeber nicht zu den in § 183 des Sozialgerichtsgesetzes genannten Personen gehört; im Verfahren nach § 201 Absatz 1 des Sozialgerichtsgesetzes werden die Gebühren immer nach dem Gegenstandswert berechnet. In Verfahren wegen überlanger Gerichtsverfahren (§ 202 Satz 2 des Sozialgerichtsgesetzes) werden die Gebühren nach dem Gegenstandswert berechnet.</w:t>
      </w:r>
    </w:p>
    <w:p>
      <w:r>
        <w:t xml:space="preserve">(2) Absatz 1 gilt entsprechend für eine Tätigkeit außerhalb eines gerichtlichen Verfahrens.</w:t>
      </w:r>
    </w:p>
    <w:p>
      <w:r>
        <w:rPr>
          <w:color w:val="555555"/>
          <w:sz w:val="17"/>
        </w:rPr>
        <w:t xml:space="preserve">Zitiervorschlag: § 3 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