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29a RVG — Gegenstandswert in Verfahren nach dem Unternehmensstabilisierungs- und -restrukturierungsgesetz</w:t>
      </w:r>
    </w:p>
    <w:p>
      <w:r>
        <w:rPr>
          <w:color w:val="555555"/>
          <w:sz w:val="18"/>
        </w:rPr>
        <w:t xml:space="preserve">Rechtsanwaltsvergütungsgesetz</w:t>
      </w:r>
    </w:p>
    <w:p>
      <w:r>
        <w:rPr>
          <w:color w:val="555555"/>
          <w:sz w:val="18"/>
        </w:rPr>
        <w:t xml:space="preserve">Stand: 13.04.2022 (konsolidierte Textfassung, kein amtliches Inkrafttretensdatum)</w:t>
      </w:r>
    </w:p>
    <w:p>
      <w:r>
        <w:t xml:space="preserve">Der Gegenstandswert in Verfahren nach dem Unternehmensstabilisierungs- und -restrukturierungsgesetz ist unter Berücksichtigung des wirtschaftlichen Interesses, das der Auftraggeber im Verfahren verfolgt, nach § 23 Absatz 3 Satz 2 zu bestimmen.</w:t>
      </w:r>
    </w:p>
    <w:p>
      <w:r>
        <w:rPr>
          <w:color w:val="555555"/>
          <w:sz w:val="17"/>
        </w:rPr>
        <w:t xml:space="preserve">Zitiervorschlag: § 29a RVG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https://recht.nulegal.eu/gesetze/RVG/29a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