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29 RVG — Gegenstandswert im Verteilungsverfahren nach der Schifffahrtsrechtlichen Verteilungsordnung</w:t>
      </w:r>
    </w:p>
    <w:p>
      <w:r>
        <w:rPr>
          <w:color w:val="555555"/>
          <w:sz w:val="18"/>
        </w:rPr>
        <w:t xml:space="preserve">Rechtsanwaltsvergütungsgesetz</w:t>
      </w:r>
    </w:p>
    <w:p>
      <w:r>
        <w:rPr>
          <w:color w:val="555555"/>
          <w:sz w:val="18"/>
        </w:rPr>
        <w:t xml:space="preserve">Stand: 13.04.2022 (konsolidierte Textfassung, kein amtliches Inkrafttretensdatum)</w:t>
      </w:r>
    </w:p>
    <w:p>
      <w:r>
        <w:t xml:space="preserve">Im Verfahren nach der Schifffahrtsrechtlichen Verteilungsordnung gilt § 28 entsprechend mit der Maßgabe, dass an die Stelle des Werts der Insolvenzmasse die festgesetzte Haftungssumme tritt.</w:t>
      </w:r>
    </w:p>
    <w:p>
      <w:r>
        <w:rPr>
          <w:color w:val="555555"/>
          <w:sz w:val="17"/>
        </w:rPr>
        <w:t xml:space="preserve">Zitiervorschlag: § 29 RVG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https://recht.nulegal.eu/gesetze/RVG/29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