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RVG — Gegenstandswert im Insolvenzverfahren</w:t>
      </w:r>
    </w:p>
    <w:p>
      <w:r>
        <w:rPr>
          <w:color w:val="555555"/>
          <w:sz w:val="18"/>
        </w:rPr>
        <w:t xml:space="preserve">Rechtsanwaltsvergütungsgesetz</w:t>
      </w:r>
    </w:p>
    <w:p>
      <w:r>
        <w:rPr>
          <w:color w:val="555555"/>
          <w:sz w:val="18"/>
        </w:rPr>
        <w:t xml:space="preserve">Stand: 13.04.2022 (konsolidierte Textfassung, kein amtliches Inkrafttretensdatum)</w:t>
      </w:r>
    </w:p>
    <w:p>
      <w:r>
        <w:t xml:space="preserve">(1) Die Gebühren der Nummern 3313, 3317 sowie im Fall der Beschwerde gegen den Beschluss über die Eröffnung des Insolvenzverfahrens der Nummern 3500 und 3513 des Vergütungsverzeichnisses werden, wenn der Auftrag vom Schuldner erteilt ist, nach dem Wert der Insolvenzmasse (§ 58 des Gerichtskostengesetzes) berechnet. Im Fall der Nummer 3313 des Vergütungsverzeichnisses beträgt der Gegenstandswert jedoch mindestens 4 000 Euro.</w:t>
      </w:r>
    </w:p>
    <w:p>
      <w:r>
        <w:t xml:space="preserve">(2) Ist der Auftrag von einem Insolvenzgläubiger erteilt, werden die in Absatz 1 genannten Gebühren und die Gebühr nach Nummer 3314 nach dem Nennwert der Forderung berechnet. Nebenforderungen sind mitzurechnen.</w:t>
      </w:r>
    </w:p>
    <w:p>
      <w:r>
        <w:t xml:space="preserve">(3) Im Übrigen ist der Gegenstandswert im Insolvenzverfahren unter Berücksichtigung des wirtschaftlichen Interesses, das der Auftraggeber im Verfahren verfolgt, nach § 23 Absatz 3 Satz 2 zu bestimmen.</w:t>
      </w:r>
    </w:p>
    <w:p>
      <w:r>
        <w:rPr>
          <w:color w:val="555555"/>
          <w:sz w:val="17"/>
        </w:rPr>
        <w:t xml:space="preserve">Zitiervorschlag: § 28 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