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23b RVG — Gegenstandswert im Musterverfahren nach dem Kapitalanleger-Musterverfahrensgesetz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13.04.2022 (konsolidierte Textfassung, kein amtliches Inkrafttretensdatum)</w:t>
      </w:r>
    </w:p>
    <w:p>
      <w:r>
        <w:t xml:space="preserve">Im Musterverfahren nach dem Kapitalanleger-Musterverfahrensgesetz bestimmt sich der Gegenstandswert nach der Höhe des von dem Auftraggeber oder gegen diesen im Ausgangsverfahren geltend gemachten Anspruchs, soweit dieser Gegenstand des Musterverfahrens ist.</w:t>
      </w:r>
    </w:p>
    <w:p>
      <w:r>
        <w:rPr>
          <w:color w:val="555555"/>
          <w:sz w:val="17"/>
        </w:rPr>
        <w:t xml:space="preserve">Zitiervorschlag: § 23b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https://recht.nulegal.eu/gesetze/RVG/23b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