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23a RVG — Gegenstandswert im Verfahren über die Prozesskostenhilfe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(1) Im Verfahren über die Bewilligung der Prozesskostenhilfe oder die Aufhebung der Bewilligung nach § 124 Absatz 1 Nummer 1 der Zivilprozessordnung bestimmt sich der Gegenstandswert nach dem für die Hauptsache maßgebenden Wert; im Übrigen ist er nach dem Kosteninteresse nach billigem Ermessen zu bestimmen.</w:t>
      </w:r>
    </w:p>
    <w:p>
      <w:r>
        <w:t xml:space="preserve">(2) Der Wert nach Absatz 1 und der Wert für das Verfahren, für das die Prozesskostenhilfe beantragt worden ist, werden nicht zusammengerechnet.</w:t>
      </w:r>
    </w:p>
    <w:p>
      <w:r>
        <w:rPr>
          <w:color w:val="555555"/>
          <w:sz w:val="17"/>
        </w:rPr>
        <w:t xml:space="preserve">Zitiervorschlag: § 23a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https://recht.nulegal.eu/gesetze/RVG/23a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