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RVG — Zurückverweisung, Fortführung einer Folgesache als selbständige Familiensache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Soweit eine Sache an ein untergeordnetes Gericht zurückverwiesen wird, ist das weitere Verfahren vor diesem Gericht ein neuer Rechtszug.</w:t>
      </w:r>
    </w:p>
    <w:p>
      <w:r>
        <w:t xml:space="preserve">(2) In den Fällen des § 146 des Gesetzes über das Verfahren in Familiensachen und in den Angelegenheiten der freiwilligen Gerichtsbarkeit, auch in Verbindung mit § 270 des Gesetzes über das Verfahren in Familiensachen und in den Angelegenheiten der freiwilligen Gerichtsbarkeit, bildet das weitere Verfahren vor dem Familiengericht mit dem früheren einen Rechtszug.</w:t>
      </w:r>
    </w:p>
    <w:p>
      <w:r>
        <w:t xml:space="preserve">(3) Wird eine Folgesache als selbständige Familiensache fortgeführt, sind das fortgeführte Verfahren und das frühere Verfahren dieselbe Angelegenheit.</w:t>
      </w:r>
    </w:p>
    <w:p>
      <w:r>
        <w:rPr>
          <w:color w:val="555555"/>
          <w:sz w:val="17"/>
        </w:rPr>
        <w:t xml:space="preserve">Zitiervorschlag: § 21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