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RVG — Höhe der Vergütung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(1) Die Gebühren werden, soweit dieses Gesetz nichts anderes bestimmt, nach dem Wert berechnet, den der Gegenstand der anwaltlichen Tätigkeit hat (Gegenstandswert).</w:t>
      </w:r>
    </w:p>
    <w:p>
      <w:r>
        <w:t xml:space="preserve">(2) Die Höhe der Vergütung bestimmt sich nach dem Vergütungsverzeichnis der Anlage 1 zu diesem Gesetz. Gebühren werden auf den nächstliegenden Cent auf- oder abgerundet; 0,5 Cent werden aufgerundet.</w:t>
      </w:r>
    </w:p>
    <w:p>
      <w:r>
        <w:rPr>
          <w:color w:val="555555"/>
          <w:sz w:val="17"/>
        </w:rPr>
        <w:t xml:space="preserve">Zitiervorschlag: § 2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