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RVG — Anrechnung einer Gebühr</w:t>
      </w:r>
    </w:p>
    <w:p>
      <w:r>
        <w:rPr>
          <w:color w:val="555555"/>
          <w:sz w:val="18"/>
        </w:rPr>
        <w:t xml:space="preserve">Rechtsanwaltsvergütungsgesetz</w:t>
      </w:r>
    </w:p>
    <w:p>
      <w:r>
        <w:rPr>
          <w:color w:val="555555"/>
          <w:sz w:val="18"/>
        </w:rPr>
        <w:t xml:space="preserve">Stand: 01.06.2025 (konsolidierte Textfassung, kein amtliches Inkrafttretensdatum)</w:t>
      </w:r>
    </w:p>
    <w:p>
      <w:r>
        <w:t xml:space="preserve">(1) Sieht dieses Gesetz die Anrechnung einer Gebühr auf eine andere Gebühr vor, kann der Rechtsanwalt beide Gebühren fordern, jedoch nicht mehr als den um den Anrechnungsbetrag verminderten Gesamtbetrag der beiden Gebühren.</w:t>
      </w:r>
    </w:p>
    <w:p>
      <w:r>
        <w:t xml:space="preserve">(2) Sind mehrere Gebühren ganz oder teilweise auf dieselbe Gebühr anzurechnen, so ist der anzurechnende Betrag für jede anzurechnende Gebühr gesondert zu ermitteln. Bei Wertgebühren darf der Gesamtbetrag der Anrechnung jedoch denjenigen Anrechnungsbetrag nicht übersteigen, der sich ergeben würde, wenn eine Gebühr anzurechnen wäre, die sich aus dem Gesamtbetrag der betroffenen Wertteile nach dem höchsten für die Anrechnungen einschlägigen Gebührensatz berechnet. Bei Betragsrahmengebühren darf der Gesamtbetrag der Anrechnung den für die Anrechnung bestimmten Höchstbetrag nicht übersteigen.</w:t>
      </w:r>
    </w:p>
    <w:p>
      <w:r>
        <w:t xml:space="preserve">(3) Ein Dritter kann sich auf die Anrechnung nur berufen, soweit er den Anspruch auf eine der beiden Gebühren erfüllt hat, wegen eines dieser Ansprüche gegen ihn ein Vollstreckungstitel besteht oder beide Gebühren in demselben Verfahren gegen ihn geltend gemacht werden.</w:t>
      </w:r>
    </w:p>
    <w:p>
      <w:r>
        <w:rPr>
          <w:color w:val="555555"/>
          <w:sz w:val="17"/>
        </w:rPr>
        <w:t xml:space="preserve">Zitiervorschlag: § 15a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