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RVG — Wertgebühren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Wenn sich die Gebühren nach dem Gegenstandswert richten, beträgt bei einem Gegenstandswert bis 500 Euro die Gebühr 51,50 Euro. Die Gebühr erhöht sich bei einem</w:t>
      </w:r>
    </w:p>
    <w:p>
      <w:r>
        <w:rPr>
          <w:rFonts w:ascii="Courier New" w:hAnsi="Courier New"/>
          <w:sz w:val="17"/>
        </w:rPr>
        <w:t xml:space="preserve">Gegenstands-wert bis … Euro    für jeden angefangenen Betrag von weiteren … Euro    um … Euro</w:t>
      </w:r>
    </w:p>
    <w:p>
      <w:r>
        <w:rPr>
          <w:rFonts w:ascii="Courier New" w:hAnsi="Courier New"/>
          <w:sz w:val="17"/>
        </w:rPr>
        <w:t xml:space="preserve">2 000    500    41,50</w:t>
      </w:r>
    </w:p>
    <w:p>
      <w:r>
        <w:rPr>
          <w:rFonts w:ascii="Courier New" w:hAnsi="Courier New"/>
          <w:sz w:val="17"/>
        </w:rPr>
        <w:t xml:space="preserve">10 000    1 000    59,50</w:t>
      </w:r>
    </w:p>
    <w:p>
      <w:r>
        <w:rPr>
          <w:rFonts w:ascii="Courier New" w:hAnsi="Courier New"/>
          <w:sz w:val="17"/>
        </w:rPr>
        <w:t xml:space="preserve">25 000    3 000    55,00</w:t>
      </w:r>
    </w:p>
    <w:p>
      <w:r>
        <w:rPr>
          <w:rFonts w:ascii="Courier New" w:hAnsi="Courier New"/>
          <w:sz w:val="17"/>
        </w:rPr>
        <w:t xml:space="preserve">50 000    5 000    86,00</w:t>
      </w:r>
    </w:p>
    <w:p>
      <w:r>
        <w:rPr>
          <w:rFonts w:ascii="Courier New" w:hAnsi="Courier New"/>
          <w:sz w:val="17"/>
        </w:rPr>
        <w:t xml:space="preserve">200 000    15 000    99,50</w:t>
      </w:r>
    </w:p>
    <w:p>
      <w:r>
        <w:rPr>
          <w:rFonts w:ascii="Courier New" w:hAnsi="Courier New"/>
          <w:sz w:val="17"/>
        </w:rPr>
        <w:t xml:space="preserve">500 000    30 000    140,00</w:t>
      </w:r>
    </w:p>
    <w:p>
      <w:r>
        <w:rPr>
          <w:rFonts w:ascii="Courier New" w:hAnsi="Courier New"/>
          <w:sz w:val="17"/>
        </w:rPr>
        <w:t xml:space="preserve">über 500 000    50 000    175,00</w:t>
      </w:r>
    </w:p>
    <w:p>
      <w:r>
        <w:t xml:space="preserve">Eine Gebührentabelle für Gegenstandswerte bis 500 000 Euro ist diesem Gesetz als Anlage 2 beigefügt.</w:t>
      </w:r>
    </w:p>
    <w:p>
      <w:r>
        <w:t xml:space="preserve">(2) Bei der Geschäftsgebühr für eine außergerichtliche Inkassodienstleistung, die eine unbestrittene Forderung betrifft (Absatz 2 der Anmerkung zu Nummer 2300 des Vergütungsverzeichnisses), beträgt bei einem Gegenstandswert bis 50 Euro die Gebühr abweichend von Absatz 1 Satz 1 31,50 Euro.</w:t>
      </w:r>
    </w:p>
    <w:p>
      <w:r>
        <w:t xml:space="preserve">(3) Der Mindestbetrag einer Gebühr ist 15 Euro.</w:t>
      </w:r>
    </w:p>
    <w:p>
      <w:r>
        <w:rPr>
          <w:color w:val="555555"/>
          <w:sz w:val="17"/>
        </w:rPr>
        <w:t xml:space="preserve">Zitiervorschlag: § 13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