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RVG — Geltungsbereich</w:t>
      </w:r>
    </w:p>
    <w:p>
      <w:r>
        <w:rPr>
          <w:color w:val="555555"/>
          <w:sz w:val="18"/>
        </w:rPr>
        <w:t xml:space="preserve">Rechtsanwaltsvergütungsgesetz</w:t>
      </w:r>
    </w:p>
    <w:p>
      <w:r>
        <w:rPr>
          <w:color w:val="555555"/>
          <w:sz w:val="18"/>
        </w:rPr>
        <w:t xml:space="preserve">Stand: 01.01.2023 (konsolidierte Textfassung, kein amtliches Inkrafttretensdatum)</w:t>
      </w:r>
    </w:p>
    <w:p>
      <w:r>
        <w:t xml:space="preserve">(1) Die Vergütung (Gebühren und Auslagen) für anwaltliche Tätigkeiten der Rechtsanwältinnen und Rechtsanwälte bemisst sich nach diesem Gesetz. Dies gilt auch für eine Tätigkeit als besonderer Vertreter nach den §§ 57 und 58 der Zivilprozessordnung, nach § 118e der Bundesrechtsanwaltsordnung, nach § 103b der Patentanwaltsordnung oder nach § 111c des Steuerberatungsgesetzes. Andere Mitglieder einer Rechtsanwaltskammer, Partnerschaftsgesellschaften und sonstige Gesellschaften stehen einem Rechtsanwalt im Sinne dieses Gesetzes gleich.</w:t>
      </w:r>
    </w:p>
    <w:p>
      <w:r>
        <w:t xml:space="preserve">(2) Dieses Gesetz gilt nicht für eine Tätigkeit als Syndikusrechtsanwalt (§ 46 Absatz 2 der Bundesrechtsanwaltsordnung). Es gilt ferner nicht für eine Tätigkeit als Vormund, Betreuer, Pfleger, Verfahrenspfleger, Verfahrensbeistand, Testamentsvollstrecker, Insolvenzverwalter, Sachwalter, Mitglied des Gläubigerausschusses, Restrukturierungsbeauftragter, Sanierungsmoderator, Mitglied des Gläubigerbeirats, Nachlassverwalter, Zwangsverwalter, Treuhänder oder Schiedsrichter oder für eine ähnliche Tätigkeit. § 1877 Absatz 3 des Bürgerlichen Gesetzbuchs und § 4 Absatz 2 des Vormünder- und Betreuervergütungsgesetzes bleiben unberührt.</w:t>
      </w:r>
    </w:p>
    <w:p>
      <w:r>
        <w:t xml:space="preserve">(3) Die Vorschriften dieses Gesetzes über die Erinnerung und die Beschwerde gehen den Regelungen der für das zugrunde liegende Verfahren geltenden Verfahrensvorschriften vor.</w:t>
      </w:r>
    </w:p>
    <w:p>
      <w:r>
        <w:rPr>
          <w:color w:val="555555"/>
          <w:sz w:val="17"/>
        </w:rPr>
        <w:t xml:space="preserve">Zitiervorschlag: § 1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