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RVBedWohnV</w:t>
      </w:r>
    </w:p>
    <w:p>
      <w:r>
        <w:rPr>
          <w:color w:val="555555"/>
          <w:sz w:val="18"/>
        </w:rPr>
        <w:t xml:space="preserve">Bedienstetenwohnungs-Verordnung der RV-Träger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222 Abs. 1 des Sechsten Buches Sozialgesetzbuch - Gesetzliche Rentenversicherung - in der Fassung der Bekanntmachung vom 19. Februar 2002 (BGBl. I S. 754, 1404, 3384), der durch Artikel 208 Nr. 1 des Gesetzes vom 25. November 2003 (BGBl. I S. 2304) geändert worden ist, verordnet das Bundesministerium für Gesundheit und Soziale Sicherung im Einvernehmen mit dem Bundesministerium der Finanzen:</w:t>
      </w:r>
    </w:p>
    <w:p>
      <w:r>
        <w:rPr>
          <w:color w:val="555555"/>
          <w:sz w:val="17"/>
        </w:rPr>
        <w:t xml:space="preserve">Zitiervorschlag: Eingangsformel RVBedWohnV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https://recht.nulegal.eu/gesetze/RVBedWohnV/eingangsformel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