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RVBedWohnV — Inkrafttreten</w:t>
      </w:r>
    </w:p>
    <w:p>
      <w:r>
        <w:rPr>
          <w:color w:val="555555"/>
          <w:sz w:val="18"/>
        </w:rPr>
        <w:t xml:space="preserve">Bedienstetenwohnungs-Verordnung der RV-Träger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RVBedWohnV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https://recht.nulegal.eu/gesetze/RVBedWohnV/6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