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RVBedWohnV — Übergangsregelung</w:t>
      </w:r>
    </w:p>
    <w:p>
      <w:r>
        <w:rPr>
          <w:color w:val="555555"/>
          <w:sz w:val="18"/>
        </w:rPr>
        <w:t xml:space="preserve">Bedienstetenwohnungs-Verordnung der RV-Träger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Wohnungsfürsorgemaßnahmen, die bis zum 25. April 2005 eingeleitet worden sind, bleiben mit Ausnahme der Regelung in § 2 Abs. 3 unberührt.</w:t>
      </w:r>
    </w:p>
    <w:p>
      <w:r>
        <w:rPr>
          <w:color w:val="555555"/>
          <w:sz w:val="17"/>
        </w:rPr>
        <w:t xml:space="preserve">Zitiervorschlag: § 5 RVBedWohnV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https://recht.nulegal.eu/gesetze/RVBedWohnV/5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