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RVBedWohnV — Befristung</w:t>
      </w:r>
    </w:p>
    <w:p>
      <w:r>
        <w:rPr>
          <w:color w:val="555555"/>
          <w:sz w:val="18"/>
        </w:rPr>
        <w:t xml:space="preserve">Bedienstetenwohnungs-Verordnung der RV-Träger</w:t>
      </w:r>
    </w:p>
    <w:p>
      <w:r>
        <w:rPr>
          <w:color w:val="555555"/>
          <w:sz w:val="18"/>
        </w:rPr>
        <w:t xml:space="preserve">Stand: 10.06.2019 (konsolidierte Textfassung, kein amtliches Inkrafttretensdatum)</w:t>
      </w:r>
    </w:p>
    <w:p>
      <w:r>
        <w:t xml:space="preserve">Maßnahmen der Wohnungsfürsorge sind nur zulässig, wenn sie bis zum 31. Dezember 2008 eingeleitet werden. Dies gilt nicht für die Errichtung, den Umbau und die Modernisierung von funktionsbezogenen Dienstwohnungen sowie von Dienstwohnungen für Klinikpersonal in Rehabilitationseinrichtungen.</w:t>
      </w:r>
    </w:p>
    <w:p>
      <w:r>
        <w:rPr>
          <w:color w:val="555555"/>
          <w:sz w:val="17"/>
        </w:rPr>
        <w:t xml:space="preserve">Zitiervorschlag: § 4 RVBedWohnV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https://recht.nulegal.eu/gesetze/RVBedWohnV/4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