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RV-BZV</w:t>
      </w:r>
    </w:p>
    <w:p>
      <w:r>
        <w:rPr>
          <w:color w:val="555555"/>
          <w:sz w:val="18"/>
        </w:rPr>
        <w:t xml:space="preserve">RV-Beitragszahlungsverordnung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178 Abs. 2 des Sechsten Buches Sozialgesetzbuch (Artikel 1 des Gesetzes vom 18. Dezember 1989, BGBl. I S. 2261), der durch Artikel 1 Nr. 31 Buchstabe b des Renten-Überleitungsgesetzes vom 25. Juli 1991 (BGBl. I S. 1606) geändert worden ist, verordnet der Bundesminister für Arbeit und Sozialordnung:</w:t>
      </w:r>
    </w:p>
    <w:p>
      <w:r>
        <w:rPr>
          <w:color w:val="555555"/>
          <w:sz w:val="17"/>
        </w:rPr>
        <w:t xml:space="preserve">Zitiervorschlag: Eingangsformel RV-BZV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https://recht.nulegal.eu/gesetze/RV-BZV/eingangsformel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