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RV-BZV — Zahlungsweise, Zahlungsmittel</w:t>
      </w:r>
    </w:p>
    <w:p>
      <w:r>
        <w:rPr>
          <w:color w:val="555555"/>
          <w:sz w:val="18"/>
        </w:rPr>
        <w:t xml:space="preserve">RV-Beitragszahlungsverordnung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Beitragszahlungen sind unmittelbar an den zuständigen Träger der Rentenversicherung zu leisten. Die Betragszahlungen können durch</w:t>
      </w:r>
    </w:p>
    <w:p>
      <w:pPr>
        <w:ind w:left="420"/>
      </w:pPr>
      <w:r>
        <w:t xml:space="preserve">1. Abbuchung (Einzugsermächtigung),</w:t>
      </w:r>
    </w:p>
    <w:p>
      <w:pPr>
        <w:ind w:left="420"/>
      </w:pPr>
      <w:r>
        <w:t xml:space="preserve">2. Überweisung oder Einzahlung,</w:t>
      </w:r>
    </w:p>
    <w:p>
      <w:pPr>
        <w:ind w:left="420"/>
      </w:pPr>
      <w:r>
        <w:t xml:space="preserve">3. Scheck oder</w:t>
      </w:r>
    </w:p>
    <w:p>
      <w:pPr>
        <w:ind w:left="420"/>
      </w:pPr>
      <w:r>
        <w:t xml:space="preserve">4. Barzahlung</w:t>
      </w:r>
    </w:p>
    <w:p>
      <w:r>
        <w:t xml:space="preserve">erfolgen.</w:t>
      </w:r>
    </w:p>
    <w:p>
      <w:r>
        <w:rPr>
          <w:color w:val="555555"/>
          <w:sz w:val="17"/>
        </w:rPr>
        <w:t xml:space="preserve">Zitiervorschlag: § 2 RV-BZV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https://recht.nulegal.eu/gesetze/RV-BZV/2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