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RV-BZV — Inkrafttreten</w:t>
      </w:r>
    </w:p>
    <w:p>
      <w:r>
        <w:rPr>
          <w:color w:val="555555"/>
          <w:sz w:val="18"/>
        </w:rPr>
        <w:t xml:space="preserve">RV-Beitragszahlungsverordnung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1992 in Kraft. Gleichzeitig tritt vorbehaltlich des § 10 die RV-Beitragsentrichtungsverordnung außer Kraft.</w:t>
      </w:r>
    </w:p>
    <w:p>
      <w:r>
        <w:rPr>
          <w:color w:val="555555"/>
          <w:sz w:val="17"/>
        </w:rPr>
        <w:t xml:space="preserve">Zitiervorschlag: § 11 RV-BZV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https://recht.nulegal.eu/gesetze/RV-BZV/11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