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RV-BZV — Übergangs- und Schlußvorschriften</w:t>
      </w:r>
    </w:p>
    <w:p>
      <w:r>
        <w:rPr>
          <w:color w:val="555555"/>
          <w:sz w:val="18"/>
        </w:rPr>
        <w:t xml:space="preserve">RV-Beitragszahlungsverordnung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ausgegebene Beitragsmarken der Träger der Rentenversicherung gilt § 11 Abs. 2 und 3 der RV-Beitragsentrichtungsverordnung vom 21. Juni 1976 (BGBl. I S. 1667, 3616), die zuletzt durch die Verordnung vom 16. Juli 1986 (BGBl. I S. 1060) geändert worden ist, weiter.</w:t>
      </w:r>
    </w:p>
    <w:p>
      <w:r>
        <w:rPr>
          <w:color w:val="555555"/>
          <w:sz w:val="17"/>
        </w:rPr>
        <w:t xml:space="preserve">Zitiervorschlag: § 10 RV-BZV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https://recht.nulegal.eu/gesetze/RV-BZV/10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