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Tabelle V RTrAbwG — zu § 19 Abs. 3</w:t>
      </w:r>
    </w:p>
    <w:p>
      <w:r>
        <w:rPr>
          <w:color w:val="555555"/>
          <w:sz w:val="18"/>
        </w:rPr>
        <w:t xml:space="preserve">Rechtsträger-Abwicklungsgesetz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1965, 1086</w:t>
      </w:r>
    </w:p>
    <w:p>
      <w:r>
        <w:rPr>
          <w:rFonts w:ascii="Courier New" w:hAnsi="Courier New"/>
          <w:sz w:val="17"/>
        </w:rPr>
        <w:t xml:space="preserve">Alter des Berechtigten    Alter des Kindes</w:t>
      </w:r>
    </w:p>
    <w:p>
      <w:r>
        <w:rPr>
          <w:rFonts w:ascii="Courier New" w:hAnsi="Courier New"/>
          <w:sz w:val="17"/>
        </w:rPr>
        <w:t xml:space="preserve">0 bis 2    3 bis 5    6 bis 8    9 bis 11    12 bis 14    15 bis 17</w:t>
      </w:r>
    </w:p>
    <w:p>
      <w:r>
        <w:rPr>
          <w:rFonts w:ascii="Courier New" w:hAnsi="Courier New"/>
          <w:sz w:val="17"/>
        </w:rPr>
        <w:t xml:space="preserve">bis 42    10    7    5    3    1    0</w:t>
      </w:r>
    </w:p>
    <w:p>
      <w:r>
        <w:rPr>
          <w:rFonts w:ascii="Courier New" w:hAnsi="Courier New"/>
          <w:sz w:val="17"/>
        </w:rPr>
        <w:t xml:space="preserve">43 bis 47    15    10    7    4    2    1</w:t>
      </w:r>
    </w:p>
    <w:p>
      <w:r>
        <w:rPr>
          <w:rFonts w:ascii="Courier New" w:hAnsi="Courier New"/>
          <w:sz w:val="17"/>
        </w:rPr>
        <w:t xml:space="preserve">48 bis 52    20    14    9    5    3    1</w:t>
      </w:r>
    </w:p>
    <w:p>
      <w:r>
        <w:rPr>
          <w:rFonts w:ascii="Courier New" w:hAnsi="Courier New"/>
          <w:sz w:val="17"/>
        </w:rPr>
        <w:t xml:space="preserve">53 bis 57    28    21    13    8    4    1</w:t>
      </w:r>
    </w:p>
    <w:p>
      <w:r>
        <w:rPr>
          <w:rFonts w:ascii="Courier New" w:hAnsi="Courier New"/>
          <w:sz w:val="17"/>
        </w:rPr>
        <w:t xml:space="preserve">58 bis 62    39    29    20    12    6    1</w:t>
      </w:r>
    </w:p>
    <w:p>
      <w:r>
        <w:rPr>
          <w:rFonts w:ascii="Courier New" w:hAnsi="Courier New"/>
          <w:sz w:val="17"/>
        </w:rPr>
        <w:t xml:space="preserve">63 bis 67    50    39    27    16    9    2</w:t>
      </w:r>
    </w:p>
    <w:p>
      <w:r>
        <w:rPr>
          <w:rFonts w:ascii="Courier New" w:hAnsi="Courier New"/>
          <w:sz w:val="17"/>
        </w:rPr>
        <w:t xml:space="preserve">68 bis 72    50    50    36    23    12    3</w:t>
      </w:r>
    </w:p>
    <w:p>
      <w:r>
        <w:rPr>
          <w:rFonts w:ascii="Courier New" w:hAnsi="Courier New"/>
          <w:sz w:val="17"/>
        </w:rPr>
        <w:t xml:space="preserve">73 bis 77    50    50    50    32    17    5</w:t>
      </w:r>
    </w:p>
    <w:p>
      <w:r>
        <w:rPr>
          <w:rFonts w:ascii="Courier New" w:hAnsi="Courier New"/>
          <w:sz w:val="17"/>
        </w:rPr>
        <w:t xml:space="preserve">über 77    50    50    50    50    24    8</w:t>
      </w:r>
    </w:p>
    <w:p>
      <w:r>
        <w:rPr>
          <w:rFonts w:ascii="Courier New" w:hAnsi="Courier New"/>
          <w:sz w:val="17"/>
        </w:rPr>
        <w:t xml:space="preserve">Invaliditätsrentner mit einem Alter unter 65 Jahren sind ohne Rücksicht auf das tatsächliche Alter als 65jährig zu behandeln.</w:t>
      </w:r>
    </w:p>
    <w:p>
      <w:r>
        <w:rPr>
          <w:color w:val="555555"/>
          <w:sz w:val="17"/>
        </w:rPr>
        <w:t xml:space="preserve">Zitiervorschlag: Tabelle V RTrAbwG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https://recht.nulegal.eu/gesetze/RTrAbwG/tabelle-v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