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RTrAbwG — Ansprüche im Zusammenhang mit der Verwaltung von ehemaligem Reichsvermögen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4 Abs. 2 Nr. 2 des Allgemeinen Kriegsfolgengesetzes vom 5. November 1957 (Bundesgesetzblatt I S. 1747) ist auf Ansprüche der öffentlichen Rechtsträger (§ 1) nicht anzuwenden.</w:t>
      </w:r>
    </w:p>
    <w:p>
      <w:r>
        <w:t xml:space="preserve">(2) Für Ansprüche eines öffentlichen Rechtsträgers (§ 1) im Sinne des § 4 Abs. 1 des Allgemeinen Kriegsfolgengesetzes beginnt die Anmeldefrist in Abweichung von dessen § 28 Abs. 1 am ersten Tag des Kalendermonats nach der Bekanntmachung der Übernahme der Abwicklung oder der Bestellung eines Abwicklers im Bundesanzeiger gemäß § 3 Abs. 3.</w:t>
      </w:r>
    </w:p>
    <w:p>
      <w:r>
        <w:rPr>
          <w:color w:val="555555"/>
          <w:sz w:val="17"/>
        </w:rPr>
        <w:t xml:space="preserve">Zitiervorschlag: § 7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