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RTrAbwG — Berlin-Klausel</w:t>
      </w:r>
    </w:p>
    <w:p>
      <w:r>
        <w:rPr>
          <w:color w:val="555555"/>
          <w:sz w:val="18"/>
        </w:rPr>
        <w:t xml:space="preserve">Rechtsträger-Abwicklungsgesetz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und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30 RTrAbwG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https://recht.nulegal.eu/gesetze/RTrAbwG/30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