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RTrAbwG — Beendigung der bisherigen Vermögensverwaltung</w:t>
      </w:r>
    </w:p>
    <w:p>
      <w:r>
        <w:rPr>
          <w:color w:val="555555"/>
          <w:sz w:val="18"/>
        </w:rPr>
        <w:t xml:space="preserve">Rechtsträger-Abwicklungsgesetz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der Bekanntmachung der Übernahme der Abwicklung durch den zuständigen Bundesminister oder durch eine ihm nachgeordnete Dienststelle oder mit der Bestellung eines Abwicklers (§ 3 Abs. 3) erlöschen die Aufgaben und Befugnisse der bisher zur Verwaltung und Abwicklung bestellten Personen. Diese haben das verwaltete Vermögen unverzüglich an den Abwickler herauszugeben und ihm Schlußrechnung zu legen.</w:t>
      </w:r>
    </w:p>
    <w:p>
      <w:r>
        <w:rPr>
          <w:color w:val="555555"/>
          <w:sz w:val="17"/>
        </w:rPr>
        <w:t xml:space="preserve">Zitiervorschlag: § 26 RTrAbwG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https://recht.nulegal.eu/gesetze/RTrAbwG/26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