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RTrAbwG — Beendigung der Abwicklung</w:t>
      </w:r>
    </w:p>
    <w:p>
      <w:r>
        <w:rPr>
          <w:color w:val="555555"/>
          <w:sz w:val="18"/>
        </w:rPr>
        <w:t xml:space="preserve">Rechtsträger-Abwicklungsgesetz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Erstreckt sich die Abwicklung über einen längeren Zeitraum als ein Jahr, hat der Abwickler jeweils für ein Rechnungsjahr eine Zwischenrechnung zu legen.</w:t>
      </w:r>
    </w:p>
    <w:p>
      <w:r>
        <w:t xml:space="preserve">(2) Bei der Beendigung seiner Tätigkeit (§ 3 Abs. 2, §§ 19 und 21) hat der Abwickler Schlußrechnung zu legen. Er hat die Akten und Unterlagen an den zuständigen Bundesminister herauszugeben.</w:t>
      </w:r>
    </w:p>
    <w:p>
      <w:r>
        <w:t xml:space="preserve">(3) Der zuständige Bundesminister gibt die Beendigung der Abwicklung im Bundesanzeiger bekannt.</w:t>
      </w:r>
    </w:p>
    <w:p>
      <w:r>
        <w:rPr>
          <w:color w:val="555555"/>
          <w:sz w:val="17"/>
        </w:rPr>
        <w:t xml:space="preserve">Zitiervorschlag: § 24 RTrAbwG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https://recht.nulegal.eu/gesetze/RTrAbwG/24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