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RTrAbwG — Auffüllung der Abwicklungsmasse</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Reicht das Vermögen eines öffentlichen Rechtsträgers (§ 1) für die Erfüllung der Verbindlichkeiten nicht aus, so haben diejenigen juristischen Personen des öffentlichen Rechts, auf die Vermögensgegenstände dieses Rechtsträgers nach Artikel 135 Abs. 2 des Grundgesetzes übergegangen oder nach § 16 übertragen worden sind, diesem öffentlichen Rechtsträger gegenüber den Fehlbetrag insoweit auszugleichen, als dies zur Schuldentilgung erforderlich ist. Die Verpflichtung zum Ausgleich beschränkt sich auf den im Zeitpunkt der Übernahme des Besitzes bestehenden Wert der übergegangenen oder übertragenen Vermögensgegenstände abzüglich der auf ihnen ruhenden dinglichen Lasten. Dies gilt entsprechend, wenn Vermögensgegenstände nur deshalb nicht nach Artikel 135 Abs. 2 des Grundgesetzes übergegangen oder nach § 16 zu übertragen sind, weil sie bereits auf Grund der in § 6 Satz 1 bezeichneten Vorschriften übertragen worden oder übergegangen sind.</w:t>
      </w:r>
    </w:p>
    <w:p>
      <w:r>
        <w:t xml:space="preserve">(2) Sind Vermögensgegenstände eines öffentlichen Rechtsträgers (§ 1) auf verschiedene nach Absatz 1 Verpflichtete übertragen worden oder übergegangen, so ist jeder Verpflichtete nur anteilig entsprechend dem im Zeitpunkt der Übernahme des Besitzes bestehenden Wert der auf ihn übertragenen oder übergegangenen Vermögensgegenstände zum Ausgleich verpflichtet.</w:t>
      </w:r>
    </w:p>
    <w:p>
      <w:r>
        <w:rPr>
          <w:color w:val="555555"/>
          <w:sz w:val="17"/>
        </w:rPr>
        <w:t xml:space="preserve">Zitiervorschlag: § 17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