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RTrAbwG — Den Wohnsitzvoraussetzungen nicht unterliegende Ansprüche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Beschränkungen des § 9 unterliegt nicht die Geltendmachung von</w:t>
      </w:r>
    </w:p>
    <w:p>
      <w:pPr>
        <w:ind w:left="420"/>
      </w:pPr>
      <w:r>
        <w:t xml:space="preserve">1. Ansprüchen, die begründet worden sind oder begründet werden</w:t>
      </w:r>
    </w:p>
    <w:p>
      <w:pPr>
        <w:ind w:left="780"/>
      </w:pPr>
      <w:r>
        <w:t xml:space="preserve">a) durch die Abwickler (§ 3) oder</w:t>
      </w:r>
    </w:p>
    <w:p>
      <w:pPr>
        <w:ind w:left="780"/>
      </w:pPr>
      <w:r>
        <w:t xml:space="preserve">b) durch vor dem Inkrafttreten dieses Gesetzes zur Verwaltung oder Abwicklung bestellte Personen;</w:t>
      </w:r>
    </w:p>
    <w:p>
      <w:pPr>
        <w:ind w:left="420"/>
      </w:pPr>
      <w:r>
        <w:t xml:space="preserve">2. Ansprüchen aus im Grundbuch eingetragenen Rechten an</w:t>
      </w:r>
    </w:p>
    <w:p>
      <w:pPr>
        <w:ind w:left="780"/>
      </w:pPr>
      <w:r>
        <w:t xml:space="preserve">a) Grundstücken oder</w:t>
      </w:r>
    </w:p>
    <w:p>
      <w:pPr>
        <w:ind w:left="780"/>
      </w:pPr>
      <w:r>
        <w:t xml:space="preserve">b) grundstücksgleichen Rechten,</w:t>
      </w:r>
    </w:p>
    <w:p>
      <w:pPr>
        <w:ind w:left="420"/>
      </w:pPr>
      <w:r>
        <w:t xml:space="preserve">die im Geltungsbereich dieses Gesetzes belegen sind; das gleiche gilt für Ansprüche aus im Schiffsregister oder im Schiffsbauregister im Geltungsbereich dieses Gesetzes eingetragenen Rechten an Schiffen;</w:t>
      </w:r>
    </w:p>
    <w:p>
      <w:pPr>
        <w:ind w:left="420"/>
      </w:pPr>
      <w:r>
        <w:t xml:space="preserve">3. Ansprüchen, soweit zu ihrer Sicherung ein im Geltungsbereich dieses Gesetzes belegenes</w:t>
      </w:r>
    </w:p>
    <w:p>
      <w:pPr>
        <w:ind w:left="780"/>
      </w:pPr>
      <w:r>
        <w:t xml:space="preserve">a) Grundstück oder</w:t>
      </w:r>
    </w:p>
    <w:p>
      <w:pPr>
        <w:ind w:left="780"/>
      </w:pPr>
      <w:r>
        <w:t xml:space="preserve">b) grundstücksgleiches Recht</w:t>
      </w:r>
    </w:p>
    <w:p>
      <w:pPr>
        <w:ind w:left="420"/>
      </w:pPr>
      <w:r>
        <w:t xml:space="preserve">belastet ist; das gleiche gilt für Ansprüche, soweit zu ihrer Sicherung ein im Schiffsregister oder im Schiffsbauregister im Geltungsbereich dieses Gesetzes eingetragenes Schiff belastet ist;</w:t>
      </w:r>
    </w:p>
    <w:p>
      <w:pPr>
        <w:ind w:left="420"/>
      </w:pPr>
      <w:r>
        <w:t xml:space="preserve">4. Ansprüchen aus dinglichen Rechten an beweglichen Sachen.</w:t>
      </w:r>
    </w:p>
    <w:p>
      <w:r>
        <w:rPr>
          <w:color w:val="555555"/>
          <w:sz w:val="17"/>
        </w:rPr>
        <w:t xml:space="preserve">Zitiervorschlag: § 10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