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RTrAbwG — Auflösung</w:t>
      </w:r>
    </w:p>
    <w:p>
      <w:r>
        <w:rPr>
          <w:color w:val="555555"/>
          <w:sz w:val="18"/>
        </w:rPr>
        <w:t xml:space="preserve">Rechtsträger-Abwicklungsgesetz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der Anlage I aufgeführten Körperschaften, Anstalten und Stiftungen des öffentlichen Rechts (öffentliche Rechtsträger) sind aufgelöst.</w:t>
      </w:r>
    </w:p>
    <w:p>
      <w:r>
        <w:t xml:space="preserve">(2) Die Bundesregierung wird ermächtigt, durch Rechtsverordnung mit Zustimmung des Bundesrates die Anlage I durch Aufnahme weiterer vor dem 9. Mai 1945 errichteter, bei Inkrafttreten des Grundgesetzes nicht mehr bestehender öffentlicher Rechtsträger mit Sitz im Geltungsbereich dieses Gesetzes zu ergänzen.</w:t>
      </w:r>
    </w:p>
    <w:p>
      <w:r>
        <w:rPr>
          <w:color w:val="555555"/>
          <w:sz w:val="17"/>
        </w:rPr>
        <w:t xml:space="preserve">Zitiervorschlag: § 1 RTrAbwG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https://recht.nulegal.eu/gesetze/RTrAbwG/1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