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RTrAbwG§11Abs3DV</w:t>
      </w:r>
    </w:p>
    <w:p>
      <w:r>
        <w:rPr>
          <w:color w:val="555555"/>
          <w:sz w:val="18"/>
        </w:rPr>
        <w:t xml:space="preserve">Verordnung zur Durchführung des § 11 Abs. 3 des Rechtsträger-Abwicklungsgesetzes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11 Abs. 3 des Rechtsträger-Abwicklungsgesetzes vom 6. September 1965 (Bundesgesetzbl. I S. 1065) wird im Einvernehmen mit dem Bundesminister für Arbeit und Sozialordnung mit Zustimmung des Bundesrates verordnet:</w:t>
      </w:r>
    </w:p>
    <w:p>
      <w:r>
        <w:rPr>
          <w:color w:val="555555"/>
          <w:sz w:val="17"/>
        </w:rPr>
        <w:t xml:space="preserve">Zitiervorschlag: Eingangsformel RTrAbwG§11Abs3DV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https://recht.nulegal.eu/gesetze/RTrAbwG%C2%A711Abs3DV/eingangsformel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