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RStruktFV 2015 — Inkrafttreten, Außerkrafttreten</w:t>
      </w:r>
    </w:p>
    <w:p>
      <w:r>
        <w:rPr>
          <w:color w:val="555555"/>
          <w:sz w:val="18"/>
        </w:rPr>
        <w:t xml:space="preserve">Restrukturierungsfonds-Verordnung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Restrukturierungsfonds-Verordnung vom 20. Juli 2011 (BGBl. I S. 1406), die durch Artikel 7 des Gesetzes vom 26. Juni 2012 (BGBl. I S. 1375) geändert worden ist, außer Kraft.</w:t>
      </w:r>
    </w:p>
    <w:p>
      <w:r>
        <w:rPr>
          <w:color w:val="555555"/>
          <w:sz w:val="17"/>
        </w:rPr>
        <w:t xml:space="preserve">Zitiervorschlag: § 9 RStruktFV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https://recht.nulegal.eu/gesetze/RStruktFV%202015/9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RStruktFV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