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RStruktFG — Ausgleichsbeitrag im Rahmen des Instruments der Gläubigerbeteiligung</w:t>
      </w:r>
    </w:p>
    <w:p>
      <w:r>
        <w:rPr>
          <w:color w:val="555555"/>
          <w:sz w:val="18"/>
        </w:rPr>
        <w:t xml:space="preserve">Restrukturierungsfondsgesetz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(1) Schließt die Abwicklungsbehörde gemäß § 92 Absatz 1 des Sanierungs- und Abwicklungsgesetzes eine bail-in-fähige Verbindlichkeit oder eine Kategorie bail-in-fähiger Verbindlichkeiten ganz oder teilweise aus dem Anwendungsbereich des Instruments der Gläubigerbeteiligung aus und werden die entsprechenden Fehlbeträge nicht vollständig durch Erhöhung des Umfangs der auf andere bail-in-fähige Verbindlichkeiten angewandten Herabschreibung oder Umwandlung ausgeglichen, so kann der Restrukturierungsfonds einen Ausgleichsbeitrag an das von der Abwicklungsmaßnahme betroffene Wertpapierinstitut unter Einzelaufsicht leisten, um</w:t>
      </w:r>
    </w:p>
    <w:p>
      <w:pPr>
        <w:ind w:left="420"/>
      </w:pPr>
      <w:r>
        <w:t xml:space="preserve">1. gemäß § 96 Absatz 1 Nummer 1 des Sanierungs- und Abwicklungsgesetzes sicherzustellen, dass der Nettovermögenswert des Wertpapierinstituts unter Einzelaufsicht gleich null ist, oder</w:t>
      </w:r>
    </w:p>
    <w:p>
      <w:pPr>
        <w:ind w:left="420"/>
      </w:pPr>
      <w:r>
        <w:t xml:space="preserve">2. Anteile oder andere Instrumente des harten Kernkapitals des betroffenen Wertpapierinstituts unter Einzelaufsicht zu erwerben und diese CRR-Wertpapierfirma in dem von § 96 Absatz 1 Nummer 2 des Sanierungs- und Abwicklungsgesetzes verlangten Umfang zu rekapitalisieren.</w:t>
      </w:r>
    </w:p>
    <w:p>
      <w:r>
        <w:t xml:space="preserve">(2) Sollte der Nettovermögenswert des Wertpapierinstituts unter Einzelaufsicht nach Anwendung des Instruments der Gläubigerbeteiligung und trotz des Ausschlusses von Verbindlichkeiten aus dem Anwendungsbereich dieses Instruments gemäß § 92 Absatz 1 des Sanierungs- und Abwicklungsgesetzes bereits größer als null sein und drohen auch keine in § 96 Absatz 1 Nummer 1 des Sanierungs- und Abwicklungsgesetzes genannten Verluste, leistet der Restrukturierungsfonds nur für den in Absatz 1 Nummer 2 genannten Zweck einen Ausgleichsbeitrag.</w:t>
      </w:r>
    </w:p>
    <w:p>
      <w:r>
        <w:t xml:space="preserve">(3) Der Restrukturierungsfonds darf den in Absatz 1 genannten Ausgleichsbeitrag nur leisten, sofern die Inhaber von Anteilen, anderen Instrumenten des harten Kernkapitals, relevanten Kapitalinstrumenten oder bail-in-fähigen Verbindlichkeiten durch Herabschreibung, Umwandlung oder auf andere Weise einen Beitrag zum Ausgleich eines Fehlbetrags in Höhe von mindestens 8 Prozent der Summe aus Verbindlichkeiten und Eigenmitteln des Wertpapierinstituts unter Einzelaufsicht leisten, berechnet auf Grundlage der in § 69 des Sanierungs- und Abwicklungsgesetzes vorgesehenen Bewertung.</w:t>
      </w:r>
    </w:p>
    <w:p>
      <w:r>
        <w:t xml:space="preserve">(4) Der Ausgleichsbeitrag des Restrukturierungsfonds darf 5 Prozent der Summe aus Verbindlichkeiten und Eigenmitteln des Instituts oder gruppenangehörigen Unternehmens, berechnet auf Grundlage der in § 69 des Sanierungs- und Abwicklungsgesetzes vorgesehenen Bewertung, nicht übersteigen.</w:t>
      </w:r>
    </w:p>
    <w:p>
      <w:r>
        <w:t xml:space="preserve">(5) Ist die Fünf-Prozent-Grenze nach Absatz 4 erreicht, kann der Restrukturierungsfonds anstelle alternativer Finanzierungsquellen nach § 94 Absatz 2 des Sanierungs- und Abwicklungsgesetzes oder zusätzlich zu diesen Finanzierungsquellen einen weiteren Ausgleichsbeitrag leisten, sofern die Voraussetzungen nach § 94 Absatz 2 Nummer 2 des Sanierungs- und Abwicklungsgesetzes erfüllt sind.</w:t>
      </w:r>
    </w:p>
    <w:p>
      <w:r>
        <w:rPr>
          <w:color w:val="555555"/>
          <w:sz w:val="17"/>
        </w:rPr>
        <w:t xml:space="preserve">Zitiervorschlag: § 7a RStruktFG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https://recht.nulegal.eu/gesetze/RStruktFG/7a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