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6b RStruktFG — Darlehen; Verordnungsermächtigung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Der Restrukturierungsfonds kann Darlehen an ein in Abwicklung befindliches Wertpapierinstitut unter Einzelaufsicht, ihre Tochterunternehmen, ein Brückeninstitut oder eine Vermögensverwaltungsgesellschaft gewähren. Im Rahmen einer Unternehmensveräußerung nach § 107 Absatz 1 Nummer 1 Buchstabe a des Sanierungs- und Abwicklungsgesetzes in Bezug auf ein Wertpapierinstitut unter Einzelaufsicht oder eine Unionszweigstelle kann er zudem Darlehen an den Erwerber gewähren.</w:t>
      </w:r>
    </w:p>
    <w:p>
      <w:r>
        <w:t xml:space="preserve">(2) Die Bundesregierung kann durch Rechtsverordnung, die nicht der Zustimmung des Bundesrates bedarf, nähere Bestimmungen erlassen über</w:t>
      </w:r>
    </w:p>
    <w:p>
      <w:pPr>
        <w:ind w:left="420"/>
      </w:pPr>
      <w:r>
        <w:t xml:space="preserve">1. die Verzinsung und die sonstigen Bedingungen eines Darlehens,</w:t>
      </w:r>
    </w:p>
    <w:p>
      <w:pPr>
        <w:ind w:left="420"/>
      </w:pPr>
      <w:r>
        <w:t xml:space="preserve">2. Obergrenzen für die Gewährung von Darlehen bezogen auf einzelne Abwicklungsfälle,</w:t>
      </w:r>
    </w:p>
    <w:p>
      <w:pPr>
        <w:ind w:left="420"/>
      </w:pPr>
      <w:r>
        <w:t xml:space="preserve">3. sonstige Bedingungen, die dem Zweck dieses Gesetzes im Rahmen der Gewährung von Darlehen nach Absatz 1 dienen.</w:t>
      </w:r>
    </w:p>
    <w:p>
      <w:r>
        <w:t xml:space="preserve">Die Bundesregierung kann die Ermächtigung durch Rechtsverordnung auf die Abwicklungsbehörde übertragen.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6b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https://recht.nulegal.eu/gesetze/RStruktFG/6b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