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RStruktFG — Besicherung und Erwerb von Vermögenswerten; Verordnungsermächtigung</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Der Restrukturierungsfonds kann Vermögenswerte eines in Abwicklung befindlichen Wertpapierinstituts unter Einzelaufsicht, ihrer Tochterunternehmen, eines Brückeninstituts oder einer Vermögensverwaltungsgesellschaft, insbesondere Forderungen und Wertpapiere, besichern. Im Rahmen einer Unternehmensveräußerung nach § 107 Absatz 1 Nummer 1 Buchstabe a des Sanierungs- und Abwicklungsgesetzes in Bezug auf eine CRR-Wertpapierfirma unter Einzelaufsicht oder eine Unionszweigstelle kann er zudem Vermögenswerte des Erwerbers besichern.</w:t>
      </w:r>
    </w:p>
    <w:p>
      <w:r>
        <w:t xml:space="preserve">(2) Der Restrukturierungsfonds kann Vermögenswerte eines in Abwicklung befindlichen Wertpapierinstituts unter Einzelaufsicht erwerben, insbesondere Forderungen, Wertpapiere, derivative Finanzinstrumente, Rechte und Pflichten aus gewährten Krediten und Beteiligungen, jeweils nebst den zugehörigen Sicherheiten. Im Rahmen einer Unternehmensveräußerung nach § 107 Absatz 1 Nummer 1 Buchstabe a des Sanierungs- und Abwicklungsgesetzes in Bezug auf eine CRR-Wertpapierfirma unter Einzelaufsicht oder eine Unionszweigstelle kann er zudem Vermögenswerte des Erwerbers erwerben.</w:t>
      </w:r>
    </w:p>
    <w:p>
      <w:r>
        <w:t xml:space="preserve">(3) Die Bundesregierung kann durch Rechtsverordnung, die nicht der Zustimmung des Bundesrates bedarf, nähere Bestimmungen erlassen über</w:t>
      </w:r>
    </w:p>
    <w:p>
      <w:pPr>
        <w:ind w:left="420"/>
      </w:pPr>
      <w:r>
        <w:t xml:space="preserve">1. die Art der Vermögenswerte, die besichert oder erworben werden können,</w:t>
      </w:r>
    </w:p>
    <w:p>
      <w:pPr>
        <w:ind w:left="420"/>
      </w:pPr>
      <w:r>
        <w:t xml:space="preserve">2. die Art der Besicherung oder des Erwerbs, einschließlich der dafür geltenden Bedingungen, Zusicherungen und Gegenleistungen,</w:t>
      </w:r>
    </w:p>
    <w:p>
      <w:pPr>
        <w:ind w:left="420"/>
      </w:pPr>
      <w:r>
        <w:t xml:space="preserve">3. Obergrenzen für die Besicherung oder den Erwerb von Vermögenswerten bezogen auf einzelne Abwicklungsfälle sowie für bestimmte Arten von Vermögenswerten,</w:t>
      </w:r>
    </w:p>
    <w:p>
      <w:pPr>
        <w:ind w:left="420"/>
      </w:pPr>
      <w:r>
        <w:t xml:space="preserve">4. Rückkaufrechte zugunsten und Rückkaufverpflichtungen zulasten der Rechtsträger, deren Vermögenswerte besichert oder erworben wurden, und andere geeignete Formen ihrer Beteiligung an den vom Restrukturierungsfonds übernommenen Risiken und</w:t>
      </w:r>
    </w:p>
    <w:p>
      <w:pPr>
        <w:ind w:left="420"/>
      </w:pPr>
      <w:r>
        <w:t xml:space="preserve">5. sonstige Bedingungen, die dem Zweck dieses Gesetzes im Rahmen der Besicherung und des Erwerbs von Vermögenswerten nach den Absätzen 1 und 2 dienen.</w:t>
      </w:r>
    </w:p>
    <w:p>
      <w:r>
        <w:t xml:space="preserve">Die Bundesregierung kann die Ermächtigung durch Rechtsverordnung auf die Abwicklungsbehörde übertragen.</w:t>
      </w:r>
    </w:p>
    <w:p>
      <w:r>
        <w:t xml:space="preserve">(4) (weggefallen)</w:t>
      </w:r>
    </w:p>
    <w:p>
      <w:r>
        <w:rPr>
          <w:color w:val="555555"/>
          <w:sz w:val="17"/>
        </w:rPr>
        <w:t xml:space="preserve">Zitiervorschlag: § 6a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