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RStruktFG — Aufgaben und Verwendungszwecke des Restrukturierungsfonds</w:t>
      </w:r>
    </w:p>
    <w:p>
      <w:r>
        <w:rPr>
          <w:color w:val="555555"/>
          <w:sz w:val="18"/>
        </w:rPr>
        <w:t xml:space="preserve">Restrukturierungsfondsgesetz</w:t>
      </w:r>
    </w:p>
    <w:p>
      <w:r>
        <w:rPr>
          <w:color w:val="555555"/>
          <w:sz w:val="18"/>
        </w:rPr>
        <w:t xml:space="preserve">Stand: 26.06.2021 (konsolidierte Textfassung, kein amtliches Inkrafttretensdatum)</w:t>
      </w:r>
    </w:p>
    <w:p>
      <w:r>
        <w:t xml:space="preserve">(1) Der Restrukturierungsfonds dient der Stabilisierung des Finanzmarktes. Er wird nach Maßgabe der in § 67 des Sanierungs- und Abwicklungsgesetzes genannten Abwicklungsziele und im Einklang mit den Abwicklungsgrundsätzen nach § 68 des Sanierungs- und Abwicklungsgesetzes verwendet. Die Aufgabe des Restrukturierungsfonds umfasst zudem die Erhebung von Beiträgen für den einheitlichen Abwicklungsfonds und die Übertragung dieser Beiträge auf den einheitlichen Abwicklungsfonds.</w:t>
      </w:r>
    </w:p>
    <w:p>
      <w:r>
        <w:t xml:space="preserve">(2) Der Restrukturierungsfonds kann die Mittel, die ihm aus den Beiträgen der Wertpapierinstitute unter Einzelaufsicht und der Unionszweigstellen zur Verfügung stehen, für Maßnahmen nach § 3a verwenden.</w:t>
      </w:r>
    </w:p>
    <w:p>
      <w:r>
        <w:t xml:space="preserve">(3) Die Mittel des Restrukturierungsfonds aus den Beitragsjahren 2011, 2012, 2013 und 2014 dienen der Stabilisierung des Finanzmarktes und werden abweichend von den Absätzen 1 und 2 und vorbehaltlich des Absatzes 4 ausschließlich für Maßnahmen nach § 3b herangezogen.</w:t>
      </w:r>
    </w:p>
    <w:p>
      <w:r>
        <w:t xml:space="preserve">(4) Die Mittel des Restrukturierungsfonds aus den Beitragsjahren 2013 und 2014 dienen auch der Stabilisierung des Finanzmarktes durch Maßnahmen im Sinne des § 2 Absatz 1 des Stabilisierungsfondsgesetzes. Sie werden nach Maßgabe von § 13 Absatz 2a des Stabilisierungsfondsgesetzes auch zum Ausgleich eines negativen Schlussergebnisses des Finanzmarktstabilisierungsfonds herangezogen.</w:t>
      </w:r>
    </w:p>
    <w:p>
      <w:r>
        <w:rPr>
          <w:color w:val="555555"/>
          <w:sz w:val="17"/>
        </w:rPr>
        <w:t xml:space="preserve">Zitiervorschlag: § 3 RStruktFG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https://recht.nulegal.eu/gesetze/RStruktFG/3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