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RStruktFG — Beitragspflichtige Institute</w:t>
      </w:r>
    </w:p>
    <w:p>
      <w:r>
        <w:rPr>
          <w:color w:val="555555"/>
          <w:sz w:val="18"/>
        </w:rPr>
        <w:t xml:space="preserve">Restrukturierungsfondsgesetz</w:t>
      </w:r>
    </w:p>
    <w:p>
      <w:r>
        <w:rPr>
          <w:color w:val="555555"/>
          <w:sz w:val="18"/>
        </w:rPr>
        <w:t xml:space="preserve">Stand: 06.01.2024 (konsolidierte Textfassung, kein amtliches Inkrafttretensdatum)</w:t>
      </w:r>
    </w:p>
    <w:p>
      <w:r>
        <w:t xml:space="preserve">Beitragspflichtige Institute sind alle vom Anwendungsbereich gemäß § 1 des Sanierungs- und Abwicklungsgesetzes erfassten</w:t>
      </w:r>
    </w:p>
    <w:p>
      <w:pPr>
        <w:ind w:left="420"/>
      </w:pPr>
      <w:r>
        <w:t xml:space="preserve">1. CRR-Kreditinstitute im Sinne des § 1 Absatz 3d Satz 1 des Kreditwesengesetzes mit Ausnahme der Unternehmen im Sinne von Artikel 2 Absatz 5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L 208 vom 2.8.2013, S. 73; L 20 vom 25.1.2017, S. 1; L 203 vom 26.6.2020, S. 95; L 436 vom 28.12.2020, S. 77), die zuletzt durch die Verordnung (EU) 2023/1114 (ABl. L 150 vom 9.6.2023, S. 40), geändert worden ist,</w:t>
      </w:r>
    </w:p>
    <w:p>
      <w:pPr>
        <w:ind w:left="420"/>
      </w:pPr>
      <w:r>
        <w:t xml:space="preserve">2. Wertpapierinstitute im Sinne des § 2 Absatz 1 des Wertpapierinstitutsgesetzes, die gemäß § 17 Absatz 1 Nummer 1 Buchstabe a des Wertpapierinstitutsgesetzes mit einem Anfangskapital im Gegenwert von mindestens 750 000 Euro auszustatten sind, und</w:t>
      </w:r>
    </w:p>
    <w:p>
      <w:pPr>
        <w:ind w:left="420"/>
      </w:pPr>
      <w:r>
        <w:t xml:space="preserve">3. inländische Unionszweigstellen im Sinne des § 2 Absatz 3 Nummer 31 des Sanierungs- und Abwicklungsgesetzes (Unionszweigstellen),</w:t>
      </w:r>
    </w:p>
    <w:p>
      <w:r>
        <w:t xml:space="preserve">für die im Beitragsjahr eine Erlaubnis nach dem Kreditwesengesetz oder nach dem Wertpapierinstitutsgesetz bestand. Die Beitragspflicht eines Instituts endet mit Ablauf des Kalenderjahres, in dem die Erlaubnis des Instituts erlischt oder aufgehoben wird.</w:t>
      </w:r>
    </w:p>
    <w:p>
      <w:r>
        <w:rPr>
          <w:color w:val="555555"/>
          <w:sz w:val="17"/>
        </w:rPr>
        <w:t xml:space="preserve">Zitiervorschlag: § 2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