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RStruktFG — Übergangsvorschriften</w:t>
      </w:r>
    </w:p>
    <w:p>
      <w:r>
        <w:rPr>
          <w:color w:val="555555"/>
          <w:sz w:val="18"/>
        </w:rPr>
        <w:t xml:space="preserve">Restrukturierungsfondsgesetz</w:t>
      </w:r>
    </w:p>
    <w:p>
      <w:r>
        <w:rPr>
          <w:color w:val="555555"/>
          <w:sz w:val="18"/>
        </w:rPr>
        <w:t xml:space="preserve">Stand: 17.07.2020 (konsolidierte Textfassung, kein amtliches Inkrafttretensdatum)</w:t>
      </w:r>
    </w:p>
    <w:p>
      <w:r>
        <w:t xml:space="preserve">(1) (weggefallen)</w:t>
      </w:r>
    </w:p>
    <w:p>
      <w:r>
        <w:t xml:space="preserve">(2) Soweit die Mittel des Restrukturierungsfonds aus den Beitragsjahren 2013 und 2014 nicht zur Deckung der Ausgleichsverpflichtungen gemäß § 13 Absatz 2a des Stabilisierungsfondsgesetzes ausreichen, kann die Abwicklungsbehörde Sonderbeiträge nach Maßgabe von § 12c Absatz 2 bis 5 dieses Gesetzes in der bis zum 31. Dezember 2015 geltenden Fassung erheben, wobei solche Sonderbeiträge ausschließlich von den beitragspflichtigen Unternehmen im Sinne des § 2 dieses Gesetzes in der bis zum 31. Dezember 2014 geltenden Fassung erhoben werden können.</w:t>
      </w:r>
    </w:p>
    <w:p>
      <w:r>
        <w:t xml:space="preserve">(3) Für die Summe aller Sonderbeiträge, inklusive derjenigen, die gemäß § 11a auf den einheitlichen Abwicklungsfonds zu übertragen sind, gilt § 12c Absatz 3 Satz 2 und 3 dieses Gesetzes in der bis zum 31. Dezember 2015 geltenden Fassung entsprechend; in Bezug auf Sonderbeiträge nach Absatz 2 mit der Maßgabe, dass diese Sonderbeiträge in den folgenden Beitragsjahren von den in diesen folgenden Beitragsjahren jeweils beitragspflichtigen Unternehmen im Sinne des § 2 dieses Gesetzes in der bis zum 31. Dezember 2014 geltenden Fassung erhoben werden.</w:t>
      </w:r>
    </w:p>
    <w:p>
      <w:r>
        <w:rPr>
          <w:color w:val="555555"/>
          <w:sz w:val="17"/>
        </w:rPr>
        <w:t xml:space="preserve">Zitiervorschlag: § 17 RStruktFG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https://recht.nulegal.eu/gesetze/RStruktFG/17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