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RStruktFG — Parlamentarische Kontrolle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17.07.2020 (konsolidierte Textfassung, kein amtliches Inkrafttretensdatum)</w:t>
      </w:r>
    </w:p>
    <w:p>
      <w:r>
        <w:t xml:space="preserve">(1) Die parlamentarische Kontrolle des Restrukturierungsfonds und seiner Verwaltung wird durch das Gremium nach § 3 des Bundesschuldenwesengesetzes (Gremium) wahrgenommen. § 10a Absatz 2 und 3 des Stabilisierungsfondsgesetzes ist entsprechend anzuwenden.</w:t>
      </w:r>
    </w:p>
    <w:p>
      <w:r>
        <w:t xml:space="preserve">(2) Nach Entscheidung über eine Maßnahme nach § 4 Absatz 1 wird das Gremium unverzüglich über den jeweiligen Sachverhalt unterrichtet.</w:t>
      </w:r>
    </w:p>
    <w:p>
      <w:r>
        <w:rPr>
          <w:color w:val="555555"/>
          <w:sz w:val="17"/>
        </w:rPr>
        <w:t xml:space="preserve">Zitiervorschlag: § 16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