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RStruktFG — Steuern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Restrukturierungsfonds unterliegt nicht der Gewerbesteuer oder der Körperschaftsteuer.</w:t>
      </w:r>
    </w:p>
    <w:p>
      <w:r>
        <w:t xml:space="preserve">(2) Auf Kapitalerträge des Restrukturierungsfonds ist ein Steuerabzug nicht vorzunehmen; ist Kapitalertragsteuer einbehalten und abgeführt worden, obwohl eine Verpflichtung hierzu nicht bestand, hat der zum Steuerabzug Verpflichtete die Steueranmeldung insoweit zu ändern. Zahlungen des Restrukturierungsfonds unterliegen keinem Kapitalertragsteuerabzug.</w:t>
      </w:r>
    </w:p>
    <w:p>
      <w:r>
        <w:rPr>
          <w:color w:val="555555"/>
          <w:sz w:val="17"/>
        </w:rPr>
        <w:t xml:space="preserve">Zitiervorschlag: § 15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