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RStruktFG — Informations- und Verschwiegenheitspflichten</w:t>
      </w:r>
    </w:p>
    <w:p>
      <w:r>
        <w:rPr>
          <w:color w:val="555555"/>
          <w:sz w:val="18"/>
        </w:rPr>
        <w:t xml:space="preserve">Restrukturierungsfondsgesetz</w:t>
      </w:r>
    </w:p>
    <w:p>
      <w:r>
        <w:rPr>
          <w:color w:val="555555"/>
          <w:sz w:val="18"/>
        </w:rPr>
        <w:t xml:space="preserve">Stand: 10.06.2019 (konsolidierte Textfassung, kein amtliches Inkrafttretensdatum)</w:t>
      </w:r>
    </w:p>
    <w:p>
      <w:r>
        <w:t xml:space="preserve">(1) Die Informations- und Verschwiegenheitspflichten gemäß den §§ 4 bis 10 des Sanierungs- und Abwicklungsgesetzes gelten entsprechend für die Wahrnehmung der Aufgaben nach diesem Gesetz einschließlich der Aufgaben nach der Restrukturierungsfonds-Verordnung und der Delegierten Verordnung (EU) 2015/63 der Kommission vom 21. Oktober 2014 zur Ergänzung der Richtlinie 2014/59/EU des Europäischen Parlaments und des Rates im Hinblick auf im Voraus erhobene Beiträge zu Abwicklungsfinanzierungsmechanismen (ABl. L 11 vom 17.1.2015, S. 44) in der jeweils geltenden Fassung.</w:t>
      </w:r>
    </w:p>
    <w:p>
      <w:r>
        <w:t xml:space="preserve">(2) Die Abwicklungsbehörde kann der Deutschen Bundesbank sämtliche Informationen mitteilen, die ihr im Zusammenhang mit der Erhebung von Beiträgen nach den §§ 12 bis 12c des Restrukturierungsfondsgesetzes in Verbindung mit der Restrukturierungsfonds-Verordnung und der Delegierten Verordnung (EU) 2015/63 in der jeweils geltenden Fassung vorliegen und die zur Erfüllung der Aufgaben der Deutschen Bundesbank nach dem Finanzstabilitätsgesetz erforderlich sind. Dies umfasst auch Informationen aus den Beitragsjahren 2011 bis 2014. Die Abwicklungsbehörde und die Deutsche Bundesbank regeln einvernehmlich die Einzelheiten von Art und Umfang der in Satz 1 genannten Informationen. Die in § 5 Absatz 1 und 2 des Sanierungs- und Abwicklungsgesetzes genannten Personen sind insoweit von ihrer Verschwiegenheitspflicht befreit.</w:t>
      </w:r>
    </w:p>
    <w:p>
      <w:r>
        <w:rPr>
          <w:color w:val="555555"/>
          <w:sz w:val="17"/>
        </w:rPr>
        <w:t xml:space="preserve">Zitiervorschlag: § 14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