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12h RStruktFG — Kreditaufnahme zwischen Finanzierungsmechanismen der EU-Mitgliedstaaten</w:t>
      </w:r>
    </w:p>
    <w:p>
      <w:r>
        <w:rPr>
          <w:color w:val="555555"/>
          <w:sz w:val="18"/>
        </w:rPr>
        <w:t xml:space="preserve">Restrukturierungsfondsgesetz</w:t>
      </w:r>
    </w:p>
    <w:p>
      <w:r>
        <w:rPr>
          <w:color w:val="555555"/>
          <w:sz w:val="18"/>
        </w:rPr>
        <w:t xml:space="preserve">Stand: 26.06.2021 (konsolidierte Textfassung, kein amtliches Inkrafttretensdatum)</w:t>
      </w:r>
    </w:p>
    <w:p>
      <w:r>
        <w:t xml:space="preserve">(1) Der Restrukturierungsfonds kann bei allen Finanzierungsmechanismen der anderen Mitgliedstaaten der Europäischen Union Kredite aufnehmen, soweit</w:t>
      </w:r>
    </w:p>
    <w:p>
      <w:pPr>
        <w:ind w:left="420"/>
      </w:pPr>
      <w:r>
        <w:t xml:space="preserve">1. die erhobenen Jahresbeiträge gemäß § 12b nicht ausreichen, um die durch Inanspruchnahme des Restrukturierungsfonds entstehenden Verluste, Kosten oder sonstigen Aufwendungen im Zusammenhang mit Maßnahmen gemäß § 3a zu decken,</w:t>
      </w:r>
    </w:p>
    <w:p>
      <w:pPr>
        <w:ind w:left="420"/>
      </w:pPr>
      <w:r>
        <w:t xml:space="preserve">2. Sonderbeiträge nach § 12c nicht unmittelbar verfügbar sind und</w:t>
      </w:r>
    </w:p>
    <w:p>
      <w:pPr>
        <w:ind w:left="420"/>
      </w:pPr>
      <w:r>
        <w:t xml:space="preserve">3. eine Kreditaufnahme nicht zu angemessenen Bedingungen unmittelbar möglich ist.</w:t>
      </w:r>
    </w:p>
    <w:p>
      <w:r>
        <w:t xml:space="preserve">(2) Der Restrukturierungsfonds ist befugt, Finanzierungsmechanismen anderer Mitgliedstaaten der Europäischen Union auf Antrag Kredite zu gewähren, soweit</w:t>
      </w:r>
    </w:p>
    <w:p>
      <w:pPr>
        <w:ind w:left="420"/>
      </w:pPr>
      <w:r>
        <w:t xml:space="preserve">1. die Beiträge, die auf Grundlage der jeweiligen zur Umsetzung des Artikels 103 der Richtlinie 2014/59/EU erlassenen nationalen Vorschriften erhoben wurden, nicht ausreichen, um die durch die Inanspruchnahme des betreffenden Finanzierungsmechanismus entstehenden Verluste, Kosten oder sonstigen Aufwendungen zu decken,</w:t>
      </w:r>
    </w:p>
    <w:p>
      <w:pPr>
        <w:ind w:left="420"/>
      </w:pPr>
      <w:r>
        <w:t xml:space="preserve">2. die außerordentlichen nachträglich erhobenen Beiträge, die auf Grundlage der jeweiligen zur Umsetzung des Artikels 104 der Richtlinie 2014/59/EU erlassenen nationalen Vorschriften erhoben wurden, nicht unmittelbar verfügbar sind und</w:t>
      </w:r>
    </w:p>
    <w:p>
      <w:pPr>
        <w:ind w:left="420"/>
      </w:pPr>
      <w:r>
        <w:t xml:space="preserve">3. alternative Finanzierungsmöglichkeiten im Sinne des Artikels 105 der Richtlinie 2014/59/EU nicht zu angemessenen Bedingungen unmittelbar verfügbar sind.</w:t>
      </w:r>
    </w:p>
    <w:p>
      <w:r>
        <w:t xml:space="preserve">(3) Soweit nicht anders vereinbart, beläuft sich die Höhe des Kredits eines einzelnen kreditgewährenden Finanzierungsmechanismus auf den Anteil des Gesamtkreditbetrags, der dem Verhältnis des Betrags der gedeckten Einlagen in dem Mitgliedstaat des betreffenden Finanzierungsmechanismus zu der aggregierten Höhe der gedeckten Einlagen in den Mitgliedstaaten der teilnehmenden Finanzierungsmechanismen entspricht.</w:t>
      </w:r>
    </w:p>
    <w:p>
      <w:r>
        <w:t xml:space="preserve">(4) Der Zinssatz, die Rückzahlungsfrist und andere Bedingungen des Kredits werden zwischen dem kreditnehmenden Finanzierungsmechanismus und den kreditgewährenden Finanzierungsmechanismen vereinbart. Soweit nicht anders vereinbart, sind für die Kredite der einzelnen teilnehmenden Finanzierungsmechanismen derselbe Zinssatz, dieselbe Rückzahlungsfrist und dieselben sonstigen Bedingungen vorzusehen.</w:t>
      </w:r>
    </w:p>
    <w:p>
      <w:r>
        <w:t xml:space="preserve">(5) Der ausstehende Betrag eines Kredits an einen Finanzierungsmechanismus eines anderen Mitgliedstaates wird als Vermögenswert des Restrukturierungsfonds behandelt und auf seine Zielausstattung angerechnet.</w:t>
      </w:r>
    </w:p>
    <w:p>
      <w:r>
        <w:t xml:space="preserve">(6) Für eine Kreditvergabe nach Absatz 2 stehen lediglich die von den Wertpapierinstituten unter Einzelaufsicht und den Unionszweigstellen eingezahlten Beträge zur Verfügung. Die Mittel des Restrukturierungsfonds aus den Beitragsjahren 2011, 2012, 2013 und 2014 werden nicht für eine Kreditgewährung gemäß Absatz 2 herangezogen.</w:t>
      </w:r>
    </w:p>
    <w:p>
      <w:r>
        <w:rPr>
          <w:color w:val="555555"/>
          <w:sz w:val="17"/>
        </w:rPr>
        <w:t xml:space="preserve">Zitiervorschlag: § 12h RStruktFG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https://recht.nulegal.eu/gesetze/RStruktFG/12h</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