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12b RStruktFG — Jahresbeiträge der Wertpapierinstitute unter Einzelaufsicht und der Unionszweigstellen</w:t>
      </w:r>
    </w:p>
    <w:p>
      <w:r>
        <w:rPr>
          <w:color w:val="555555"/>
          <w:sz w:val="18"/>
        </w:rPr>
        <w:t xml:space="preserve">Restrukturierungsfondsgesetz</w:t>
      </w:r>
    </w:p>
    <w:p>
      <w:r>
        <w:rPr>
          <w:color w:val="555555"/>
          <w:sz w:val="18"/>
        </w:rPr>
        <w:t xml:space="preserve">Stand: 26.06.2021 (konsolidierte Textfassung, kein amtliches Inkrafttretensdatum)</w:t>
      </w:r>
    </w:p>
    <w:p>
      <w:r>
        <w:t xml:space="preserve">(1) Soweit die Delegierte Verordnung (EU) 2015/63 keine Regelung enthält, regelt die Bundesregierung das Nähere über die von Wertpapierinstituten unter Einzelaufsicht und von Unionszweigstellen zu erbringenden Jahresbeiträge in der nach § 12g zu erlassenden Rechtsverordnung. Maßgeblich für die Berechnung der Höhe der Jahresbeiträge ist die Summe der Verbindlichkeiten im Sinne von Artikel 3 Nummer 11 der Delegierten Verordnung (EU) 2015/63 abzüglich Eigenmittel und gedeckter Einlagen. Artikel 12 der Delegierten Verordnung (EU) 2015/63 gilt entsprechend.</w:t>
      </w:r>
    </w:p>
    <w:p>
      <w:r>
        <w:t xml:space="preserve">(2) Liegt der Betrag der verfügbaren Mittel aus den Beiträgen der Wertpapierinstitute unter Einzelaufsicht und der Unionszweigstellen nach dem 31. Dezember 2024 unter der Zielausstattung gemäß § 12a, so haben die CRR-Wertpapierfirmen unter Einzelaufsicht und die Unionszweigstellen erneut Jahresbeiträge zu leisten, bis die Zielausstattung erreicht ist.</w:t>
      </w:r>
    </w:p>
    <w:p>
      <w:r>
        <w:rPr>
          <w:color w:val="555555"/>
          <w:sz w:val="17"/>
        </w:rPr>
        <w:t xml:space="preserve">Zitiervorschlag: § 12b RStruktFG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https://recht.nulegal.eu/gesetze/RStruktFG/12b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