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RStruktFG — Zielausstattung des Restrukturierungsfonds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02.04.2022 (konsolidierte Textfassung, kein amtliches Inkrafttretensdatum)</w:t>
      </w:r>
    </w:p>
    <w:p>
      <w:r>
        <w:t xml:space="preserve">Zielausstattung ist die Summe der Jahresbeiträge, die von Wertpapierinstituten unter Einzelaufsicht und Unionszweigstellen nach Maßgabe der Delegierten Verordnung (EU) 2015/63 sowie nach § 12b und der Rechtsverordnung nach § 12g bis zum 31. Dezember 2024 zu erbringen sind.</w:t>
      </w:r>
    </w:p>
    <w:p>
      <w:r>
        <w:rPr>
          <w:color w:val="555555"/>
          <w:sz w:val="17"/>
        </w:rPr>
        <w:t xml:space="preserve">Zitiervorschlag: § 12a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