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11c RStruktFG — Zuständigkeit für die Ausübung der Befugnisse aus dem Übereinkommen; Informationspflicht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Aufgaben der Abwicklungsbehörde zählen</w:t>
      </w:r>
    </w:p>
    <w:p>
      <w:pPr>
        <w:ind w:left="420"/>
      </w:pPr>
      <w:r>
        <w:t xml:space="preserve">1. das Ersuchen um vorübergehende Übertragung von Finanzmitteln anderer nationaler Kammern auf die deutsche Kammer nach Artikel 7 Absatz 1 des Übereinkommens;</w:t>
      </w:r>
    </w:p>
    <w:p>
      <w:pPr>
        <w:ind w:left="420"/>
      </w:pPr>
      <w:r>
        <w:t xml:space="preserve">2. das Erheben von Einwänden gegen die vorübergehende Übertragung von Finanzmitteln der deutschen Kammer auf eine andere nationale Kammer nach Artikel 7 Absatz 4 des Übereinkommens;</w:t>
      </w:r>
    </w:p>
    <w:p>
      <w:pPr>
        <w:ind w:left="420"/>
      </w:pPr>
      <w:r>
        <w:t xml:space="preserve">3. das Ersuchen um Rückübertragung von Mitteln, die von der deutschen Kammer auf eine andere nationale Kammer übertragen wurden, nach Artikel 7 Absatz 5 des Übereinkommens und</w:t>
      </w:r>
    </w:p>
    <w:p>
      <w:pPr>
        <w:ind w:left="420"/>
      </w:pPr>
      <w:r>
        <w:t xml:space="preserve">4. das Stellen von Anträgen nach Artikel 10 Absatz 2 des Übereinkommens mit dem Ziel, durch den Ausschuss überprüfen zu lassen, ob eine andere Vertragspartei des Übereinkommens ihre Verpflichtung zur Übertragung von Beiträgen auf den einheitlichen Abwicklungsfonds nicht erfüllt hat.</w:t>
      </w:r>
    </w:p>
    <w:p>
      <w:r>
        <w:t xml:space="preserve">Mit dem Ersuchen um vorübergehende Übertragung von Finanzmitteln nach Satz 1 Nummer 1 treffen das Bundesministerium der Finanzen und die Abwicklungsbehörde Vorkehrungen, um für den Fall des Artikels 7 Absatz 5 des Übereinkommens die Rückzahlung der Mittel sicherzustellen.</w:t>
      </w:r>
    </w:p>
    <w:p>
      <w:r>
        <w:t xml:space="preserve">(2) Für die Ausübung der in Absatz 1 Satz 1 genannten Befugnisse bedarf die Abwicklungsbehörde jeweils der Zustimmung des Bundesministeriums der Finanzen. Die Abwicklungsbehörde informiert das Bundesministerium der Finanzen unverzüglich über</w:t>
      </w:r>
    </w:p>
    <w:p>
      <w:pPr>
        <w:ind w:left="420"/>
      </w:pPr>
      <w:r>
        <w:t xml:space="preserve">1. den Eingang eines Antrags auf eine vorübergehende Übertragung von Finanzmitteln aus der deutschen Kammer auf eine andere Kammer;</w:t>
      </w:r>
    </w:p>
    <w:p>
      <w:pPr>
        <w:ind w:left="420"/>
      </w:pPr>
      <w:r>
        <w:t xml:space="preserve">2. den Beschluss des Ausschusses über den Antrag sowie</w:t>
      </w:r>
    </w:p>
    <w:p>
      <w:pPr>
        <w:ind w:left="420"/>
      </w:pPr>
      <w:r>
        <w:t xml:space="preserve">3. sonstige Umstände, die für die Ausübung der in Absatz 1 Satz 1 Nummer 2 und 4 genannten Befugnisse von Bedeutung sind.</w:t>
      </w:r>
    </w:p>
    <w:p>
      <w:r>
        <w:rPr>
          <w:color w:val="555555"/>
          <w:sz w:val="17"/>
        </w:rPr>
        <w:t xml:space="preserve">Zitiervorschlag: § 11c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