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11b RStruktFG — Pflichten bei vorübergehender Übertragung von Finanzmitteln auf die deutsche Kammer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Wurden nach Artikel 7 Absatz 1 des Übereinkommens vorübergehend Finanzmittel auf die deutsche Kammer übertragen, so überträgt die Abwicklungsbehörde vor Ablauf des Übergangszeitraums Sonderbeiträge im Sinne von § 11a Absatz 1 Nummer 2 auf den einheitlichen Abwicklungsfonds. Die Höhe der zu übertragenden Sonderbeiträge richtet sich nach Artikel 7 Absatz 1 Satz 2 des Übereinkommens.</w:t>
      </w:r>
    </w:p>
    <w:p>
      <w:r>
        <w:t xml:space="preserve">(2) Werden Finanzmittel, die vorübergehend auf die deutsche Kammer übertragen wurden, nach Maßgabe von Artikel 7 Absatz 5 des Übereinkommens zurückgefordert, so überträgt die Abwicklungsbehörde die Finanzmittel gemäß Artikel 7 Absatz 5 Satz 3 des Übereinkommens nach Maßgabe der Bedingungen, die der Ausschuss festgelegt hat, auf den einheitlichen Abwicklungsfonds.</w:t>
      </w:r>
    </w:p>
    <w:p>
      <w:r>
        <w:rPr>
          <w:color w:val="555555"/>
          <w:sz w:val="17"/>
        </w:rPr>
        <w:t xml:space="preserve">Zitiervorschlag: § 11b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