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RStruktFG — Vermögenstrennung</w:t>
      </w:r>
    </w:p>
    <w:p>
      <w:r>
        <w:rPr>
          <w:color w:val="555555"/>
          <w:sz w:val="18"/>
        </w:rPr>
        <w:t xml:space="preserve">Restrukturierungsfondsgesetz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Restrukturierungsfonds ist von dem übrigen Vermögen des Bundes, seinen Rechten und Verbindlichkeiten zu trennen. § 3 Absatz 4 bleibt unberührt. Der Bund haftet unmittelbar für die Verbindlichkeiten des Restrukturierungsfonds; der Fonds haftet nicht für die sonstigen Verbindlichkeiten des Bundes.</w:t>
      </w:r>
    </w:p>
    <w:p>
      <w:r>
        <w:rPr>
          <w:color w:val="555555"/>
          <w:sz w:val="17"/>
        </w:rPr>
        <w:t xml:space="preserve">Zitiervorschlag: § 10 RStruktFG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https://recht.nulegal.eu/gesetze/RStruktFG/10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